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ABF" w:rsidRDefault="00EF4076">
      <w:pPr>
        <w:pStyle w:val="Standard"/>
        <w:tabs>
          <w:tab w:val="left" w:pos="5664"/>
        </w:tabs>
        <w:jc w:val="both"/>
        <w:rPr>
          <w:sz w:val="22"/>
          <w:szCs w:val="22"/>
        </w:rPr>
      </w:pPr>
      <w:r>
        <w:rPr>
          <w:sz w:val="22"/>
          <w:szCs w:val="22"/>
        </w:rPr>
        <w:t xml:space="preserve">Selezione pubblica, per soli esami, per la formazione di una graduatoria di merito preordinata all’assunzione a tempo indeterminato e a tempo pieno di n. </w:t>
      </w:r>
      <w:r>
        <w:rPr>
          <w:b/>
          <w:bCs/>
          <w:sz w:val="22"/>
          <w:szCs w:val="22"/>
        </w:rPr>
        <w:t>1</w:t>
      </w:r>
      <w:r>
        <w:rPr>
          <w:b/>
          <w:sz w:val="22"/>
          <w:szCs w:val="22"/>
        </w:rPr>
        <w:t xml:space="preserve"> risorsa</w:t>
      </w:r>
      <w:r>
        <w:rPr>
          <w:sz w:val="22"/>
          <w:szCs w:val="22"/>
        </w:rPr>
        <w:t xml:space="preserve"> con profilo professionale di “</w:t>
      </w:r>
      <w:r>
        <w:rPr>
          <w:b/>
          <w:sz w:val="22"/>
          <w:szCs w:val="22"/>
        </w:rPr>
        <w:t>Istruttore amministrativo-contabile</w:t>
      </w:r>
      <w:r>
        <w:rPr>
          <w:sz w:val="22"/>
          <w:szCs w:val="22"/>
        </w:rPr>
        <w:t>” (Categoria C, posizione economica C1 del comparto Funzioni Locali).</w:t>
      </w:r>
    </w:p>
    <w:p w:rsidR="00691ABF" w:rsidRDefault="00691ABF">
      <w:pPr>
        <w:pStyle w:val="Standard"/>
        <w:tabs>
          <w:tab w:val="left" w:pos="5664"/>
        </w:tabs>
        <w:jc w:val="both"/>
        <w:rPr>
          <w:sz w:val="22"/>
          <w:szCs w:val="22"/>
        </w:rPr>
      </w:pPr>
      <w:bookmarkStart w:id="0" w:name="_GoBack"/>
      <w:bookmarkEnd w:id="0"/>
    </w:p>
    <w:p w:rsidR="00691ABF" w:rsidRDefault="00691ABF">
      <w:pPr>
        <w:pStyle w:val="Standard"/>
        <w:ind w:right="32"/>
        <w:jc w:val="center"/>
        <w:rPr>
          <w:b/>
          <w:sz w:val="22"/>
          <w:szCs w:val="22"/>
        </w:rPr>
      </w:pPr>
    </w:p>
    <w:p w:rsidR="00691ABF" w:rsidRDefault="00691ABF">
      <w:pPr>
        <w:pStyle w:val="Standard"/>
        <w:ind w:right="32"/>
        <w:jc w:val="center"/>
        <w:rPr>
          <w:b/>
          <w:sz w:val="22"/>
          <w:szCs w:val="22"/>
        </w:rPr>
      </w:pPr>
    </w:p>
    <w:p w:rsidR="00187F15" w:rsidRDefault="00187F15" w:rsidP="00187F15">
      <w:pPr>
        <w:pStyle w:val="Standard"/>
        <w:ind w:right="32"/>
        <w:jc w:val="center"/>
        <w:rPr>
          <w:b/>
          <w:color w:val="000000" w:themeColor="text1"/>
          <w:sz w:val="22"/>
          <w:szCs w:val="22"/>
        </w:rPr>
      </w:pPr>
      <w:r>
        <w:rPr>
          <w:b/>
          <w:color w:val="000000" w:themeColor="text1"/>
          <w:sz w:val="22"/>
          <w:szCs w:val="22"/>
        </w:rPr>
        <w:t>ESTRATTO VERBALE N. 1</w:t>
      </w:r>
    </w:p>
    <w:p w:rsidR="00187F15" w:rsidRPr="00187F15" w:rsidRDefault="00187F15" w:rsidP="00187F15">
      <w:pPr>
        <w:pStyle w:val="Standard"/>
        <w:ind w:right="32"/>
        <w:jc w:val="center"/>
        <w:rPr>
          <w:b/>
          <w:color w:val="000000" w:themeColor="text1"/>
          <w:sz w:val="22"/>
          <w:szCs w:val="22"/>
        </w:rPr>
      </w:pPr>
      <w:r w:rsidRPr="00187F15">
        <w:rPr>
          <w:b/>
          <w:color w:val="000000" w:themeColor="text1"/>
          <w:sz w:val="22"/>
          <w:szCs w:val="22"/>
        </w:rPr>
        <w:t>DELLA COMMISSIONE ESAMINATRICE</w:t>
      </w:r>
    </w:p>
    <w:p w:rsidR="00187F15" w:rsidRPr="00187F15" w:rsidRDefault="00187F15" w:rsidP="00187F15">
      <w:pPr>
        <w:pStyle w:val="Standard"/>
        <w:ind w:right="32"/>
        <w:jc w:val="center"/>
        <w:rPr>
          <w:b/>
          <w:color w:val="000000" w:themeColor="text1"/>
          <w:sz w:val="22"/>
          <w:szCs w:val="22"/>
        </w:rPr>
      </w:pPr>
    </w:p>
    <w:p w:rsidR="00691ABF" w:rsidRDefault="00187F15" w:rsidP="00187F15">
      <w:pPr>
        <w:pStyle w:val="Paragrafoelenco"/>
        <w:numPr>
          <w:ilvl w:val="0"/>
          <w:numId w:val="2"/>
        </w:numPr>
        <w:ind w:right="32"/>
        <w:jc w:val="center"/>
        <w:rPr>
          <w:rFonts w:ascii="Arial" w:hAnsi="Arial" w:cs="Arial"/>
          <w:i/>
          <w:color w:val="000000" w:themeColor="text1"/>
          <w:sz w:val="22"/>
          <w:szCs w:val="22"/>
        </w:rPr>
      </w:pPr>
      <w:r>
        <w:rPr>
          <w:rFonts w:ascii="Arial" w:hAnsi="Arial" w:cs="Arial"/>
          <w:i/>
          <w:color w:val="000000" w:themeColor="text1"/>
          <w:sz w:val="22"/>
          <w:szCs w:val="22"/>
        </w:rPr>
        <w:t>Determinazione dei criteri e modalità di valutazione delle prove selettive</w:t>
      </w:r>
    </w:p>
    <w:p w:rsidR="00691ABF" w:rsidRDefault="00691ABF">
      <w:pPr>
        <w:pStyle w:val="Standard"/>
        <w:spacing w:before="120"/>
        <w:ind w:right="32"/>
        <w:jc w:val="both"/>
        <w:rPr>
          <w:sz w:val="22"/>
          <w:szCs w:val="22"/>
        </w:rPr>
      </w:pPr>
    </w:p>
    <w:p w:rsidR="00691ABF" w:rsidRDefault="00EF4076">
      <w:pPr>
        <w:pStyle w:val="Standard"/>
        <w:spacing w:before="120"/>
        <w:ind w:right="32"/>
        <w:jc w:val="both"/>
        <w:rPr>
          <w:sz w:val="22"/>
          <w:szCs w:val="22"/>
        </w:rPr>
      </w:pPr>
      <w:r>
        <w:rPr>
          <w:sz w:val="22"/>
          <w:szCs w:val="22"/>
        </w:rPr>
        <w:t>Stabilisce pertanto collegialmente le modalità di effettuazione e i criteri per la valutazione delle prove.</w:t>
      </w:r>
    </w:p>
    <w:p w:rsidR="00691ABF" w:rsidRDefault="00EF4076">
      <w:pPr>
        <w:pStyle w:val="Standard"/>
        <w:spacing w:before="120"/>
        <w:ind w:right="32"/>
        <w:jc w:val="both"/>
        <w:rPr>
          <w:sz w:val="22"/>
          <w:szCs w:val="22"/>
        </w:rPr>
      </w:pPr>
      <w:r>
        <w:rPr>
          <w:sz w:val="22"/>
          <w:szCs w:val="22"/>
        </w:rPr>
        <w:t xml:space="preserve">Si procederà, per quanto riguarda la </w:t>
      </w:r>
      <w:r>
        <w:rPr>
          <w:b/>
          <w:sz w:val="22"/>
          <w:szCs w:val="22"/>
        </w:rPr>
        <w:t>prova scritta</w:t>
      </w:r>
      <w:r>
        <w:rPr>
          <w:sz w:val="22"/>
          <w:szCs w:val="22"/>
        </w:rPr>
        <w:t>, a sottoporre i candidati a una serie di n. 15 quesiti a risposta multipla e n. 2 quesiti a risposta sintetica vertenti sulle materie previste dal bando.</w:t>
      </w:r>
    </w:p>
    <w:p w:rsidR="00691ABF" w:rsidRDefault="00EF4076">
      <w:pPr>
        <w:jc w:val="both"/>
        <w:rPr>
          <w:rFonts w:ascii="Arial" w:hAnsi="Arial" w:cs="Arial"/>
          <w:bCs/>
          <w:sz w:val="22"/>
          <w:szCs w:val="22"/>
        </w:rPr>
      </w:pPr>
      <w:r>
        <w:rPr>
          <w:rFonts w:ascii="Arial" w:hAnsi="Arial" w:cs="Arial"/>
          <w:bCs/>
          <w:sz w:val="22"/>
          <w:szCs w:val="22"/>
        </w:rPr>
        <w:t>Per quanto riguarda i quesiti a risposta multipla</w:t>
      </w:r>
      <w:r>
        <w:rPr>
          <w:rFonts w:ascii="Arial" w:hAnsi="Arial" w:cs="Arial"/>
          <w:b/>
          <w:bCs/>
          <w:sz w:val="22"/>
          <w:szCs w:val="22"/>
        </w:rPr>
        <w:t xml:space="preserve">, </w:t>
      </w:r>
      <w:r>
        <w:rPr>
          <w:rFonts w:ascii="Arial" w:hAnsi="Arial" w:cs="Arial"/>
          <w:bCs/>
          <w:sz w:val="22"/>
          <w:szCs w:val="22"/>
        </w:rPr>
        <w:t xml:space="preserve">ciascuna domanda prevede una sola risposta esatta. Ogni risposta esatta comporterà l’attribuzione di n. 1 punto, mentre le risposte errate, le risposte multiple, ovvero le domande non risposte non comporteranno alcun punteggio, né positivo </w:t>
      </w:r>
      <w:r>
        <w:rPr>
          <w:rFonts w:ascii="Arial" w:hAnsi="Arial" w:cs="Arial"/>
          <w:bCs/>
          <w:sz w:val="22"/>
          <w:szCs w:val="22"/>
        </w:rPr>
        <w:lastRenderedPageBreak/>
        <w:t>né negativo.</w:t>
      </w:r>
    </w:p>
    <w:p w:rsidR="00EF4076" w:rsidRDefault="00EF4076">
      <w:pPr>
        <w:jc w:val="both"/>
        <w:rPr>
          <w:rFonts w:ascii="Arial" w:hAnsi="Arial" w:cs="Arial"/>
          <w:bCs/>
          <w:sz w:val="22"/>
          <w:szCs w:val="22"/>
        </w:rPr>
      </w:pPr>
    </w:p>
    <w:p w:rsidR="00691ABF" w:rsidRDefault="00EF4076">
      <w:pPr>
        <w:jc w:val="both"/>
        <w:rPr>
          <w:rFonts w:ascii="Arial" w:hAnsi="Arial" w:cs="Arial"/>
          <w:bCs/>
          <w:sz w:val="22"/>
          <w:szCs w:val="22"/>
        </w:rPr>
      </w:pPr>
      <w:r>
        <w:rPr>
          <w:rFonts w:ascii="Arial" w:hAnsi="Arial" w:cs="Arial"/>
          <w:bCs/>
          <w:sz w:val="22"/>
          <w:szCs w:val="22"/>
        </w:rPr>
        <w:t>Per quanto riguarda i quesiti a riposta sintetica verrà attribuito un punteggio da 0 a 7,5 punti per ciascuna risposta. Il punteggio sarà attribuito in base ai seguenti criteri:</w:t>
      </w:r>
    </w:p>
    <w:p w:rsidR="00691ABF" w:rsidRDefault="00691ABF">
      <w:pPr>
        <w:jc w:val="both"/>
        <w:rPr>
          <w:rFonts w:ascii="Arial" w:hAnsi="Arial" w:cs="Arial"/>
          <w:bCs/>
          <w:sz w:val="22"/>
          <w:szCs w:val="22"/>
        </w:rPr>
      </w:pPr>
    </w:p>
    <w:p w:rsidR="00691ABF" w:rsidRDefault="00EF4076">
      <w:pPr>
        <w:jc w:val="both"/>
        <w:rPr>
          <w:rFonts w:ascii="Arial" w:hAnsi="Arial" w:cs="Arial"/>
          <w:bCs/>
          <w:sz w:val="22"/>
          <w:szCs w:val="22"/>
        </w:rPr>
      </w:pPr>
      <w:r>
        <w:rPr>
          <w:rFonts w:ascii="Arial" w:hAnsi="Arial" w:cs="Arial"/>
          <w:bCs/>
          <w:sz w:val="22"/>
          <w:szCs w:val="22"/>
        </w:rPr>
        <w:t>•</w:t>
      </w:r>
      <w:r>
        <w:rPr>
          <w:rFonts w:ascii="Arial" w:hAnsi="Arial" w:cs="Arial"/>
          <w:bCs/>
          <w:sz w:val="22"/>
          <w:szCs w:val="22"/>
        </w:rPr>
        <w:tab/>
        <w:t>Conoscenza dell’argomento e pertinenza dell’esposizione al quesito proposto;</w:t>
      </w:r>
    </w:p>
    <w:p w:rsidR="00691ABF" w:rsidRDefault="00EF4076">
      <w:pPr>
        <w:jc w:val="both"/>
        <w:rPr>
          <w:rFonts w:ascii="Arial" w:hAnsi="Arial" w:cs="Arial"/>
          <w:bCs/>
          <w:sz w:val="22"/>
          <w:szCs w:val="22"/>
        </w:rPr>
      </w:pPr>
      <w:r>
        <w:rPr>
          <w:rFonts w:ascii="Arial" w:hAnsi="Arial" w:cs="Arial"/>
          <w:bCs/>
          <w:sz w:val="22"/>
          <w:szCs w:val="22"/>
        </w:rPr>
        <w:t>•</w:t>
      </w:r>
      <w:r>
        <w:rPr>
          <w:rFonts w:ascii="Arial" w:hAnsi="Arial" w:cs="Arial"/>
          <w:bCs/>
          <w:sz w:val="22"/>
          <w:szCs w:val="22"/>
        </w:rPr>
        <w:tab/>
        <w:t>Capacità di sintesi, correttezza e chiarezza espositiva;</w:t>
      </w:r>
    </w:p>
    <w:p w:rsidR="00691ABF" w:rsidRDefault="00EF4076">
      <w:pPr>
        <w:jc w:val="both"/>
        <w:rPr>
          <w:rFonts w:ascii="Arial" w:hAnsi="Arial" w:cs="Arial"/>
          <w:bCs/>
          <w:sz w:val="22"/>
          <w:szCs w:val="22"/>
        </w:rPr>
      </w:pPr>
      <w:r>
        <w:rPr>
          <w:rFonts w:ascii="Arial" w:hAnsi="Arial" w:cs="Arial"/>
          <w:bCs/>
          <w:sz w:val="22"/>
          <w:szCs w:val="22"/>
        </w:rPr>
        <w:t>•</w:t>
      </w:r>
      <w:r>
        <w:rPr>
          <w:rFonts w:ascii="Arial" w:hAnsi="Arial" w:cs="Arial"/>
          <w:bCs/>
          <w:sz w:val="22"/>
          <w:szCs w:val="22"/>
        </w:rPr>
        <w:tab/>
        <w:t>Precisione di terminologia tecnica e linguistica nella redazione della risposta</w:t>
      </w:r>
    </w:p>
    <w:p w:rsidR="00691ABF" w:rsidRDefault="00691ABF">
      <w:pPr>
        <w:jc w:val="both"/>
        <w:rPr>
          <w:rFonts w:ascii="Arial" w:hAnsi="Arial" w:cs="Arial"/>
          <w:bCs/>
          <w:sz w:val="22"/>
          <w:szCs w:val="22"/>
        </w:rPr>
      </w:pPr>
    </w:p>
    <w:p w:rsidR="00691ABF" w:rsidRDefault="00EF4076">
      <w:pPr>
        <w:jc w:val="both"/>
        <w:rPr>
          <w:rFonts w:ascii="Arial" w:hAnsi="Arial" w:cs="Arial"/>
          <w:bCs/>
          <w:sz w:val="22"/>
          <w:szCs w:val="22"/>
        </w:rPr>
      </w:pPr>
      <w:r>
        <w:rPr>
          <w:rFonts w:ascii="Arial" w:hAnsi="Arial" w:cs="Arial"/>
          <w:bCs/>
          <w:sz w:val="22"/>
          <w:szCs w:val="22"/>
        </w:rPr>
        <w:t>Per raggiungere la sufficienza i candidati devono ottenere un punteggio complessivo pari ad almeno 21 punti. Il massimo conseguibile è di 30 punti.</w:t>
      </w:r>
    </w:p>
    <w:p w:rsidR="00691ABF" w:rsidRDefault="00EF4076">
      <w:pPr>
        <w:pStyle w:val="Standard"/>
        <w:spacing w:before="120"/>
        <w:ind w:right="32"/>
        <w:jc w:val="both"/>
        <w:rPr>
          <w:sz w:val="22"/>
          <w:szCs w:val="22"/>
        </w:rPr>
      </w:pPr>
      <w:r>
        <w:rPr>
          <w:sz w:val="22"/>
          <w:szCs w:val="22"/>
        </w:rPr>
        <w:t xml:space="preserve">Ai candidati sarà assegnato un termine massimo di 90 minuti per il completamento della prova. </w:t>
      </w:r>
    </w:p>
    <w:p w:rsidR="00691ABF" w:rsidRDefault="00EF4076">
      <w:pPr>
        <w:pStyle w:val="Standard"/>
        <w:spacing w:before="120"/>
        <w:ind w:right="32"/>
        <w:jc w:val="both"/>
        <w:rPr>
          <w:sz w:val="22"/>
          <w:szCs w:val="22"/>
        </w:rPr>
      </w:pPr>
      <w:r>
        <w:rPr>
          <w:sz w:val="22"/>
          <w:szCs w:val="22"/>
        </w:rPr>
        <w:t xml:space="preserve">Durante lo svolgimento della predetta prova scritta non si può andare in bagno. Non è ammesso l'uso del cellulare, di </w:t>
      </w:r>
      <w:proofErr w:type="spellStart"/>
      <w:r>
        <w:rPr>
          <w:sz w:val="22"/>
          <w:szCs w:val="22"/>
        </w:rPr>
        <w:t>smartwatch</w:t>
      </w:r>
      <w:proofErr w:type="spellEnd"/>
      <w:r>
        <w:rPr>
          <w:sz w:val="22"/>
          <w:szCs w:val="22"/>
        </w:rPr>
        <w:t xml:space="preserve"> o di altri dispositivi digitali. Qualora qualcuno venisse sorpreso ad utilizzarli sarà escluso dalla prova.</w:t>
      </w:r>
    </w:p>
    <w:p w:rsidR="00691ABF" w:rsidRDefault="00EF4076">
      <w:pPr>
        <w:pStyle w:val="Standard"/>
        <w:spacing w:before="120"/>
        <w:ind w:right="32"/>
        <w:jc w:val="both"/>
        <w:rPr>
          <w:sz w:val="22"/>
          <w:szCs w:val="22"/>
        </w:rPr>
      </w:pPr>
      <w:r>
        <w:rPr>
          <w:sz w:val="22"/>
          <w:szCs w:val="22"/>
        </w:rPr>
        <w:t>La Commissione decide di svolgere la suddetta prova in modalità da remoto con il supporto della ditta MEDIACONSULT SRL che si avvale del supporto tecnico della ditta Studio Amica S.r.l. che fornirà, oltre al servizio di configurazione di apposita piattaforma, il supporto operativo per lo svolgimento della procedura e un sistema di e-</w:t>
      </w:r>
      <w:proofErr w:type="spellStart"/>
      <w:r>
        <w:rPr>
          <w:sz w:val="22"/>
          <w:szCs w:val="22"/>
        </w:rPr>
        <w:t>Proctoring</w:t>
      </w:r>
      <w:proofErr w:type="spellEnd"/>
      <w:r>
        <w:rPr>
          <w:sz w:val="22"/>
          <w:szCs w:val="22"/>
        </w:rPr>
        <w:t>.</w:t>
      </w:r>
    </w:p>
    <w:p w:rsidR="00691ABF" w:rsidRDefault="00EF4076">
      <w:pPr>
        <w:pStyle w:val="Standard"/>
        <w:spacing w:before="120"/>
        <w:ind w:right="32"/>
        <w:jc w:val="both"/>
        <w:rPr>
          <w:sz w:val="22"/>
          <w:szCs w:val="22"/>
        </w:rPr>
      </w:pPr>
      <w:r>
        <w:rPr>
          <w:sz w:val="22"/>
          <w:szCs w:val="22"/>
        </w:rPr>
        <w:t>La prova scritta si svolgerà sulla piattaforma web “</w:t>
      </w:r>
      <w:proofErr w:type="spellStart"/>
      <w:r>
        <w:rPr>
          <w:sz w:val="22"/>
          <w:szCs w:val="22"/>
        </w:rPr>
        <w:t>TuttoConcorsi</w:t>
      </w:r>
      <w:proofErr w:type="spellEnd"/>
      <w:r>
        <w:rPr>
          <w:sz w:val="22"/>
          <w:szCs w:val="22"/>
        </w:rPr>
        <w:t xml:space="preserve">”, sviluppata da Studio Amica S.r.l., acquisita dal comune di Mira con determinazione dirigenziale n. 810 del 17.08.2022 nel rispetto dell’art. 35-quater, comma 1 del D.lgs. n. 165/2001 e </w:t>
      </w:r>
      <w:proofErr w:type="spellStart"/>
      <w:r>
        <w:rPr>
          <w:sz w:val="22"/>
          <w:szCs w:val="22"/>
        </w:rPr>
        <w:t>s.m.i.</w:t>
      </w:r>
      <w:proofErr w:type="spellEnd"/>
      <w:r>
        <w:rPr>
          <w:sz w:val="22"/>
          <w:szCs w:val="22"/>
        </w:rPr>
        <w:t>,</w:t>
      </w:r>
    </w:p>
    <w:p w:rsidR="00691ABF" w:rsidRDefault="00EF4076">
      <w:pPr>
        <w:pStyle w:val="Standard"/>
        <w:spacing w:before="120"/>
        <w:ind w:right="32"/>
        <w:jc w:val="both"/>
        <w:rPr>
          <w:sz w:val="22"/>
          <w:szCs w:val="22"/>
        </w:rPr>
      </w:pPr>
      <w:r>
        <w:rPr>
          <w:sz w:val="22"/>
          <w:szCs w:val="22"/>
        </w:rPr>
        <w:t xml:space="preserve">La commissione decide inoltre di strutturare la </w:t>
      </w:r>
      <w:r>
        <w:rPr>
          <w:b/>
          <w:sz w:val="22"/>
          <w:szCs w:val="22"/>
        </w:rPr>
        <w:t>prova orale</w:t>
      </w:r>
      <w:r>
        <w:rPr>
          <w:sz w:val="22"/>
          <w:szCs w:val="22"/>
        </w:rPr>
        <w:t xml:space="preserve"> in una serie di n. 3 domande da sottoporre a ciascun candidato, vertenti sulle materie previste dal bando, da estrarre a sorte. La Commissione stabilisce, altresì, di procedere all’interno della prova orale all’accertamento della conoscenza dell’uso delle apparecchiature e delle applicazioni informatiche più diffuse nonché della lingua inglese.</w:t>
      </w:r>
    </w:p>
    <w:p w:rsidR="00691ABF" w:rsidRDefault="00EF4076">
      <w:pPr>
        <w:pStyle w:val="Standard"/>
        <w:spacing w:before="120"/>
        <w:ind w:right="32"/>
        <w:jc w:val="both"/>
        <w:rPr>
          <w:sz w:val="22"/>
          <w:szCs w:val="22"/>
        </w:rPr>
      </w:pPr>
      <w:r>
        <w:rPr>
          <w:sz w:val="22"/>
          <w:szCs w:val="22"/>
        </w:rPr>
        <w:t>Stabilisce, inoltre, i seguenti criteri per la valutazione della prova orale:</w:t>
      </w:r>
    </w:p>
    <w:p w:rsidR="00691ABF" w:rsidRDefault="00EF4076">
      <w:pPr>
        <w:jc w:val="both"/>
        <w:rPr>
          <w:rFonts w:ascii="Arial" w:hAnsi="Arial" w:cs="Arial"/>
          <w:bCs/>
          <w:sz w:val="22"/>
          <w:szCs w:val="22"/>
        </w:rPr>
      </w:pPr>
      <w:r>
        <w:rPr>
          <w:rFonts w:ascii="Arial" w:hAnsi="Arial" w:cs="Arial"/>
          <w:bCs/>
          <w:sz w:val="22"/>
          <w:szCs w:val="22"/>
        </w:rPr>
        <w:t>•</w:t>
      </w:r>
      <w:r>
        <w:rPr>
          <w:rFonts w:ascii="Arial" w:hAnsi="Arial" w:cs="Arial"/>
          <w:bCs/>
          <w:sz w:val="22"/>
          <w:szCs w:val="22"/>
        </w:rPr>
        <w:tab/>
        <w:t>completezza e precisione tecnica nell’esposizione dei contenuti delle risposte;</w:t>
      </w:r>
    </w:p>
    <w:p w:rsidR="00691ABF" w:rsidRDefault="00EF4076">
      <w:pPr>
        <w:jc w:val="both"/>
        <w:rPr>
          <w:rFonts w:ascii="Arial" w:hAnsi="Arial" w:cs="Arial"/>
          <w:bCs/>
          <w:sz w:val="22"/>
          <w:szCs w:val="22"/>
        </w:rPr>
      </w:pPr>
      <w:r>
        <w:rPr>
          <w:rFonts w:ascii="Arial" w:hAnsi="Arial" w:cs="Arial"/>
          <w:bCs/>
          <w:sz w:val="22"/>
          <w:szCs w:val="22"/>
        </w:rPr>
        <w:t>•</w:t>
      </w:r>
      <w:r>
        <w:rPr>
          <w:rFonts w:ascii="Arial" w:hAnsi="Arial" w:cs="Arial"/>
          <w:bCs/>
          <w:sz w:val="22"/>
          <w:szCs w:val="22"/>
        </w:rPr>
        <w:tab/>
        <w:t>chiarezza espositiva;</w:t>
      </w:r>
    </w:p>
    <w:p w:rsidR="00691ABF" w:rsidRDefault="00EF4076">
      <w:pPr>
        <w:jc w:val="both"/>
        <w:rPr>
          <w:rFonts w:ascii="Arial" w:hAnsi="Arial" w:cs="Arial"/>
          <w:bCs/>
          <w:sz w:val="22"/>
          <w:szCs w:val="22"/>
        </w:rPr>
      </w:pPr>
      <w:r>
        <w:rPr>
          <w:rFonts w:ascii="Arial" w:hAnsi="Arial" w:cs="Arial"/>
          <w:bCs/>
          <w:sz w:val="22"/>
          <w:szCs w:val="22"/>
        </w:rPr>
        <w:t>•</w:t>
      </w:r>
      <w:r>
        <w:rPr>
          <w:rFonts w:ascii="Arial" w:hAnsi="Arial" w:cs="Arial"/>
          <w:bCs/>
          <w:sz w:val="22"/>
          <w:szCs w:val="22"/>
        </w:rPr>
        <w:tab/>
        <w:t>conoscenza delle materie.</w:t>
      </w:r>
    </w:p>
    <w:p w:rsidR="00691ABF" w:rsidRDefault="00691ABF">
      <w:pPr>
        <w:rPr>
          <w:color w:val="FF0000"/>
        </w:rPr>
      </w:pPr>
    </w:p>
    <w:p w:rsidR="00691ABF" w:rsidRDefault="00691ABF">
      <w:pPr>
        <w:pStyle w:val="Standard"/>
        <w:spacing w:before="120"/>
        <w:ind w:right="32"/>
        <w:jc w:val="both"/>
        <w:rPr>
          <w:color w:val="FF0000"/>
        </w:rPr>
      </w:pPr>
    </w:p>
    <w:sectPr w:rsidR="00691ABF">
      <w:headerReference w:type="default" r:id="rId7"/>
      <w:footerReference w:type="default" r:id="rId8"/>
      <w:headerReference w:type="first" r:id="rId9"/>
      <w:footerReference w:type="first" r:id="rId10"/>
      <w:pgSz w:w="11906" w:h="16838"/>
      <w:pgMar w:top="1417" w:right="1134" w:bottom="1134" w:left="1134" w:header="720" w:footer="704" w:gutter="0"/>
      <w:cols w:space="720"/>
      <w:formProt w:val="0"/>
      <w:titlePg/>
      <w:docGrid w:linePitch="272" w:charSpace="2621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3B41" w:rsidRDefault="00EF4076">
      <w:r>
        <w:separator/>
      </w:r>
    </w:p>
  </w:endnote>
  <w:endnote w:type="continuationSeparator" w:id="0">
    <w:p w:rsidR="00CD3B41" w:rsidRDefault="00EF4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Roman PS">
    <w:altName w:val="Times New Roman"/>
    <w:charset w:val="00"/>
    <w:family w:val="roman"/>
    <w:pitch w:val="variable"/>
  </w:font>
  <w:font w:name="Mangal">
    <w:altName w:val="Liberation Mono"/>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urier (W1)">
    <w:charset w:val="00"/>
    <w:family w:val="roman"/>
    <w:pitch w:val="variable"/>
  </w:font>
  <w:font w:name="AvantGarde">
    <w:altName w:val="Century Gothic"/>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ABF" w:rsidRDefault="00EF4076">
    <w:pPr>
      <w:pStyle w:val="Pidipagina"/>
      <w:jc w:val="center"/>
      <w:rPr>
        <w:rFonts w:ascii="Century Gothic" w:hAnsi="Century Gothic" w:cs="Century Gothic"/>
        <w:sz w:val="14"/>
      </w:rPr>
    </w:pPr>
    <w:r>
      <w:rPr>
        <w:rFonts w:ascii="Century Gothic" w:hAnsi="Century Gothic" w:cs="Century Gothic"/>
        <w:sz w:val="14"/>
      </w:rPr>
      <w:t>_________________________________</w:t>
    </w:r>
  </w:p>
  <w:p w:rsidR="00691ABF" w:rsidRDefault="00691ABF">
    <w:pPr>
      <w:pStyle w:val="Pidipagina"/>
      <w:jc w:val="center"/>
      <w:rPr>
        <w:rFonts w:ascii="Century Gothic" w:hAnsi="Century Gothic" w:cs="Century Gothic"/>
        <w:sz w:val="14"/>
      </w:rPr>
    </w:pPr>
  </w:p>
  <w:p w:rsidR="00691ABF" w:rsidRDefault="00EF4076">
    <w:pPr>
      <w:pStyle w:val="Pidipagina"/>
      <w:jc w:val="center"/>
      <w:rPr>
        <w:rFonts w:ascii="Century Gothic" w:hAnsi="Century Gothic" w:cs="Century Gothic"/>
        <w:sz w:val="14"/>
        <w:szCs w:val="12"/>
      </w:rPr>
    </w:pPr>
    <w:r>
      <w:rPr>
        <w:rFonts w:ascii="Century Gothic" w:hAnsi="Century Gothic" w:cs="Century Gothic"/>
        <w:sz w:val="14"/>
        <w:szCs w:val="12"/>
      </w:rPr>
      <w:t>C.A.P. 30034 PIAZZA IX MARTIRI - TEL.CENTRALINO 041-5628211 - COD.FISCALE 00368570271</w:t>
    </w:r>
  </w:p>
  <w:p w:rsidR="00691ABF" w:rsidRDefault="00EF4076">
    <w:pPr>
      <w:pStyle w:val="Pidipagina"/>
    </w:pPr>
    <w:r>
      <w:rPr>
        <w:rFonts w:ascii="Century Gothic" w:hAnsi="Century Gothic" w:cs="Century Gothic"/>
        <w:smallCaps/>
        <w:sz w:val="14"/>
        <w:szCs w:val="12"/>
      </w:rPr>
      <w:t xml:space="preserve">Servizio Risorse Umane e Organizzazione – tel. 0415628214-215 – mail </w:t>
    </w:r>
    <w:hyperlink r:id="rId1">
      <w:r>
        <w:rPr>
          <w:rStyle w:val="CollegamentoInternet"/>
          <w:rFonts w:ascii="Century Gothic" w:hAnsi="Century Gothic" w:cs="Century Gothic"/>
          <w:sz w:val="14"/>
          <w:szCs w:val="12"/>
        </w:rPr>
        <w:t>personale@comune.mira.ve.it</w:t>
      </w:r>
    </w:hyperlink>
    <w:r>
      <w:rPr>
        <w:rFonts w:ascii="Century Gothic" w:hAnsi="Century Gothic" w:cs="Century Gothic"/>
        <w:sz w:val="14"/>
        <w:szCs w:val="12"/>
      </w:rPr>
      <w:t xml:space="preserve"> </w:t>
    </w:r>
    <w:r>
      <w:rPr>
        <w:rFonts w:ascii="Century Gothic" w:hAnsi="Century Gothic"/>
        <w:sz w:val="14"/>
      </w:rPr>
      <w:t>–</w:t>
    </w:r>
    <w:r>
      <w:t xml:space="preserve"> </w:t>
    </w:r>
    <w:r>
      <w:rPr>
        <w:rFonts w:ascii="Century Gothic" w:hAnsi="Century Gothic"/>
        <w:sz w:val="14"/>
      </w:rPr>
      <w:t>PEC</w:t>
    </w:r>
    <w:r>
      <w:t xml:space="preserve"> </w:t>
    </w:r>
    <w:hyperlink r:id="rId2">
      <w:r>
        <w:rPr>
          <w:rStyle w:val="CollegamentoInternet"/>
          <w:rFonts w:ascii="Century Gothic" w:hAnsi="Century Gothic"/>
          <w:sz w:val="14"/>
        </w:rPr>
        <w:t>comune.mira.ve@pecveneto.it</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1ABF" w:rsidRDefault="00EF4076">
    <w:pPr>
      <w:pStyle w:val="Pidipagina"/>
      <w:jc w:val="center"/>
      <w:rPr>
        <w:rFonts w:ascii="Century Gothic" w:hAnsi="Century Gothic" w:cs="Century Gothic"/>
        <w:sz w:val="14"/>
      </w:rPr>
    </w:pPr>
    <w:r>
      <w:rPr>
        <w:rFonts w:ascii="Century Gothic" w:hAnsi="Century Gothic" w:cs="Century Gothic"/>
        <w:sz w:val="14"/>
      </w:rPr>
      <w:t>_________________________________</w:t>
    </w:r>
  </w:p>
  <w:p w:rsidR="00691ABF" w:rsidRDefault="00691ABF">
    <w:pPr>
      <w:pStyle w:val="Pidipagina"/>
      <w:jc w:val="center"/>
      <w:rPr>
        <w:rFonts w:ascii="Century Gothic" w:hAnsi="Century Gothic" w:cs="Century Gothic"/>
        <w:sz w:val="14"/>
      </w:rPr>
    </w:pPr>
  </w:p>
  <w:p w:rsidR="00691ABF" w:rsidRDefault="00EF4076">
    <w:pPr>
      <w:pStyle w:val="Pidipagina"/>
      <w:jc w:val="center"/>
      <w:rPr>
        <w:rFonts w:ascii="Century Gothic" w:hAnsi="Century Gothic" w:cs="Century Gothic"/>
        <w:sz w:val="14"/>
        <w:szCs w:val="12"/>
      </w:rPr>
    </w:pPr>
    <w:r>
      <w:rPr>
        <w:rFonts w:ascii="Century Gothic" w:hAnsi="Century Gothic" w:cs="Century Gothic"/>
        <w:sz w:val="14"/>
        <w:szCs w:val="12"/>
      </w:rPr>
      <w:t>C.A.P. 30034 PIAZZA IX MARTIRI - TEL.CENTRALINO 041-5628211 - COD.FISCALE 00368570271</w:t>
    </w:r>
  </w:p>
  <w:p w:rsidR="00691ABF" w:rsidRDefault="00EF4076">
    <w:pPr>
      <w:pStyle w:val="Standard"/>
      <w:spacing w:line="240" w:lineRule="exact"/>
      <w:jc w:val="center"/>
    </w:pPr>
    <w:r>
      <w:rPr>
        <w:rFonts w:ascii="Century Gothic" w:hAnsi="Century Gothic" w:cs="Century Gothic"/>
        <w:smallCaps/>
        <w:sz w:val="14"/>
        <w:szCs w:val="12"/>
      </w:rPr>
      <w:t xml:space="preserve">Servizio Risorse Umane e Organizzazione – tel. 0415628214-215 – mail </w:t>
    </w:r>
    <w:hyperlink r:id="rId1">
      <w:r>
        <w:rPr>
          <w:rStyle w:val="CollegamentoInternet"/>
          <w:rFonts w:ascii="Century Gothic" w:hAnsi="Century Gothic" w:cs="Century Gothic"/>
          <w:sz w:val="14"/>
          <w:szCs w:val="12"/>
        </w:rPr>
        <w:t>personale@comune.mira.ve.it</w:t>
      </w:r>
    </w:hyperlink>
    <w:r>
      <w:rPr>
        <w:rFonts w:ascii="Century Gothic" w:hAnsi="Century Gothic" w:cs="Century Gothic"/>
        <w:sz w:val="14"/>
        <w:szCs w:val="12"/>
      </w:rPr>
      <w:t xml:space="preserve"> </w:t>
    </w:r>
    <w:r>
      <w:rPr>
        <w:rFonts w:ascii="Century Gothic" w:hAnsi="Century Gothic"/>
        <w:sz w:val="14"/>
      </w:rPr>
      <w:t>–</w:t>
    </w:r>
    <w:r>
      <w:t xml:space="preserve"> </w:t>
    </w:r>
    <w:r>
      <w:rPr>
        <w:rFonts w:ascii="Century Gothic" w:hAnsi="Century Gothic"/>
        <w:sz w:val="14"/>
      </w:rPr>
      <w:t>PEC</w:t>
    </w:r>
    <w:r>
      <w:t xml:space="preserve"> </w:t>
    </w:r>
    <w:hyperlink r:id="rId2">
      <w:r>
        <w:rPr>
          <w:rStyle w:val="CollegamentoInternet"/>
          <w:rFonts w:ascii="Century Gothic" w:hAnsi="Century Gothic"/>
          <w:sz w:val="14"/>
        </w:rPr>
        <w:t>comune.mira.ve@pecveneto.it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3B41" w:rsidRDefault="00EF4076">
      <w:r>
        <w:separator/>
      </w:r>
    </w:p>
  </w:footnote>
  <w:footnote w:type="continuationSeparator" w:id="0">
    <w:p w:rsidR="00CD3B41" w:rsidRDefault="00EF4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13" w:type="dxa"/>
      <w:jc w:val="right"/>
      <w:tblLayout w:type="fixed"/>
      <w:tblCellMar>
        <w:left w:w="70" w:type="dxa"/>
        <w:right w:w="70" w:type="dxa"/>
      </w:tblCellMar>
      <w:tblLook w:val="04A0" w:firstRow="1" w:lastRow="0" w:firstColumn="1" w:lastColumn="0" w:noHBand="0" w:noVBand="1"/>
    </w:tblPr>
    <w:tblGrid>
      <w:gridCol w:w="708"/>
      <w:gridCol w:w="2605"/>
    </w:tblGrid>
    <w:tr w:rsidR="00691ABF">
      <w:trPr>
        <w:jc w:val="right"/>
      </w:trPr>
      <w:tc>
        <w:tcPr>
          <w:tcW w:w="708" w:type="dxa"/>
          <w:shd w:val="clear" w:color="auto" w:fill="auto"/>
        </w:tcPr>
        <w:p w:rsidR="00691ABF" w:rsidRDefault="00EF4076">
          <w:pPr>
            <w:jc w:val="center"/>
            <w:rPr>
              <w:rFonts w:ascii="AvantGarde" w:hAnsi="AvantGarde"/>
              <w:b/>
            </w:rPr>
          </w:pPr>
          <w:r>
            <w:rPr>
              <w:noProof/>
            </w:rPr>
            <w:drawing>
              <wp:inline distT="0" distB="0" distL="0" distR="0">
                <wp:extent cx="361950" cy="46672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
                        <a:stretch>
                          <a:fillRect/>
                        </a:stretch>
                      </pic:blipFill>
                      <pic:spPr bwMode="auto">
                        <a:xfrm>
                          <a:off x="0" y="0"/>
                          <a:ext cx="361950" cy="466725"/>
                        </a:xfrm>
                        <a:prstGeom prst="rect">
                          <a:avLst/>
                        </a:prstGeom>
                      </pic:spPr>
                    </pic:pic>
                  </a:graphicData>
                </a:graphic>
              </wp:inline>
            </w:drawing>
          </w:r>
        </w:p>
      </w:tc>
      <w:tc>
        <w:tcPr>
          <w:tcW w:w="2604" w:type="dxa"/>
          <w:shd w:val="clear" w:color="auto" w:fill="auto"/>
        </w:tcPr>
        <w:p w:rsidR="00691ABF" w:rsidRDefault="00EF4076">
          <w:pPr>
            <w:spacing w:before="120"/>
            <w:jc w:val="center"/>
            <w:rPr>
              <w:rFonts w:ascii="AvantGarde" w:hAnsi="AvantGarde"/>
              <w:b/>
              <w:sz w:val="36"/>
            </w:rPr>
          </w:pPr>
          <w:r>
            <w:rPr>
              <w:b/>
              <w:sz w:val="26"/>
            </w:rPr>
            <w:t>COMUNE DI MIRA</w:t>
          </w:r>
        </w:p>
        <w:p w:rsidR="00691ABF" w:rsidRDefault="00EF4076">
          <w:pPr>
            <w:jc w:val="center"/>
            <w:rPr>
              <w:b/>
              <w:sz w:val="14"/>
            </w:rPr>
          </w:pPr>
          <w:r>
            <w:rPr>
              <w:b/>
              <w:sz w:val="14"/>
            </w:rPr>
            <w:t>Città metropolitana di Venezia</w:t>
          </w:r>
        </w:p>
        <w:p w:rsidR="00691ABF" w:rsidRDefault="00EF4076">
          <w:pPr>
            <w:jc w:val="center"/>
            <w:rPr>
              <w:b/>
              <w:sz w:val="18"/>
            </w:rPr>
          </w:pPr>
          <w:r>
            <w:rPr>
              <w:b/>
              <w:sz w:val="16"/>
            </w:rPr>
            <w:t>____________</w:t>
          </w:r>
        </w:p>
        <w:p w:rsidR="00691ABF" w:rsidRDefault="00691ABF">
          <w:pPr>
            <w:rPr>
              <w:rFonts w:ascii="AvantGarde" w:hAnsi="AvantGarde"/>
              <w:b/>
            </w:rPr>
          </w:pPr>
        </w:p>
      </w:tc>
    </w:tr>
  </w:tbl>
  <w:p w:rsidR="00691ABF" w:rsidRDefault="00691ABF">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709" w:type="dxa"/>
      <w:tblLayout w:type="fixed"/>
      <w:tblCellMar>
        <w:left w:w="70" w:type="dxa"/>
        <w:right w:w="70" w:type="dxa"/>
      </w:tblCellMar>
      <w:tblLook w:val="04A0" w:firstRow="1" w:lastRow="0" w:firstColumn="1" w:lastColumn="0" w:noHBand="0" w:noVBand="1"/>
    </w:tblPr>
    <w:tblGrid>
      <w:gridCol w:w="1701"/>
      <w:gridCol w:w="6680"/>
      <w:gridCol w:w="2109"/>
    </w:tblGrid>
    <w:tr w:rsidR="00691ABF">
      <w:tc>
        <w:tcPr>
          <w:tcW w:w="1701" w:type="dxa"/>
          <w:shd w:val="clear" w:color="auto" w:fill="auto"/>
        </w:tcPr>
        <w:p w:rsidR="00691ABF" w:rsidRDefault="00EF4076">
          <w:pPr>
            <w:jc w:val="center"/>
            <w:rPr>
              <w:rFonts w:ascii="AvantGarde" w:hAnsi="AvantGarde"/>
              <w:b/>
            </w:rPr>
          </w:pPr>
          <w:r>
            <w:rPr>
              <w:noProof/>
            </w:rPr>
            <w:drawing>
              <wp:inline distT="0" distB="0" distL="0" distR="0">
                <wp:extent cx="824230" cy="1000760"/>
                <wp:effectExtent l="0" t="0" r="0" b="0"/>
                <wp:docPr id="2" name="Immagine 20" descr="C:\Users\enrico.martignon\Desktop\Stemma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0" descr="C:\Users\enrico.martignon\Desktop\Stemma_300dpi.jpg"/>
                        <pic:cNvPicPr>
                          <a:picLocks noChangeAspect="1" noChangeArrowheads="1"/>
                        </pic:cNvPicPr>
                      </pic:nvPicPr>
                      <pic:blipFill>
                        <a:blip r:embed="rId1"/>
                        <a:stretch>
                          <a:fillRect/>
                        </a:stretch>
                      </pic:blipFill>
                      <pic:spPr bwMode="auto">
                        <a:xfrm>
                          <a:off x="0" y="0"/>
                          <a:ext cx="824230" cy="1000760"/>
                        </a:xfrm>
                        <a:prstGeom prst="rect">
                          <a:avLst/>
                        </a:prstGeom>
                      </pic:spPr>
                    </pic:pic>
                  </a:graphicData>
                </a:graphic>
              </wp:inline>
            </w:drawing>
          </w:r>
        </w:p>
      </w:tc>
      <w:tc>
        <w:tcPr>
          <w:tcW w:w="6680" w:type="dxa"/>
          <w:shd w:val="clear" w:color="auto" w:fill="auto"/>
        </w:tcPr>
        <w:p w:rsidR="00691ABF" w:rsidRDefault="00691ABF">
          <w:pPr>
            <w:pStyle w:val="Standard"/>
            <w:widowControl w:val="0"/>
            <w:jc w:val="center"/>
            <w:rPr>
              <w:b/>
              <w:sz w:val="48"/>
            </w:rPr>
          </w:pPr>
        </w:p>
        <w:p w:rsidR="00691ABF" w:rsidRDefault="00EF4076">
          <w:pPr>
            <w:pStyle w:val="Standard"/>
            <w:widowControl w:val="0"/>
            <w:ind w:left="-1366" w:right="-1913"/>
            <w:jc w:val="center"/>
            <w:rPr>
              <w:b/>
              <w:sz w:val="48"/>
            </w:rPr>
          </w:pPr>
          <w:r>
            <w:rPr>
              <w:b/>
              <w:sz w:val="48"/>
            </w:rPr>
            <w:t>COMUNE DI MIRA</w:t>
          </w:r>
        </w:p>
        <w:p w:rsidR="00691ABF" w:rsidRDefault="00EF4076">
          <w:pPr>
            <w:pStyle w:val="Standard"/>
            <w:widowControl w:val="0"/>
            <w:ind w:left="-1366" w:right="-1913"/>
            <w:jc w:val="center"/>
            <w:rPr>
              <w:rFonts w:ascii="Georgia" w:hAnsi="Georgia" w:cs="Georgia"/>
            </w:rPr>
          </w:pPr>
          <w:r>
            <w:rPr>
              <w:rFonts w:ascii="Georgia" w:hAnsi="Georgia" w:cs="Georgia"/>
            </w:rPr>
            <w:t>Città Metropolitana di Venezia</w:t>
          </w:r>
        </w:p>
        <w:p w:rsidR="00691ABF" w:rsidRDefault="00EF4076">
          <w:pPr>
            <w:pStyle w:val="Standard"/>
            <w:widowControl w:val="0"/>
            <w:ind w:left="-1366" w:right="-1913"/>
            <w:jc w:val="center"/>
          </w:pPr>
          <w:r>
            <w:t>____________</w:t>
          </w:r>
        </w:p>
      </w:tc>
      <w:tc>
        <w:tcPr>
          <w:tcW w:w="2109" w:type="dxa"/>
          <w:shd w:val="clear" w:color="auto" w:fill="auto"/>
        </w:tcPr>
        <w:p w:rsidR="00691ABF" w:rsidRDefault="00EF4076">
          <w:pPr>
            <w:ind w:left="-790"/>
            <w:jc w:val="right"/>
            <w:rPr>
              <w:rFonts w:asciiTheme="minorHAnsi" w:hAnsiTheme="minorHAnsi"/>
              <w:b/>
              <w:sz w:val="48"/>
            </w:rPr>
          </w:pPr>
          <w:r>
            <w:rPr>
              <w:noProof/>
            </w:rPr>
            <w:drawing>
              <wp:inline distT="0" distB="0" distL="0" distR="0">
                <wp:extent cx="1065530" cy="1065530"/>
                <wp:effectExtent l="0" t="0" r="0" b="0"/>
                <wp:docPr id="3" name="Immagine 21" descr="C:\Users\enrico.martignon\Desktop\Logo 150 o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1" descr="C:\Users\enrico.martignon\Desktop\Logo 150 ocra.png"/>
                        <pic:cNvPicPr>
                          <a:picLocks noChangeAspect="1" noChangeArrowheads="1"/>
                        </pic:cNvPicPr>
                      </pic:nvPicPr>
                      <pic:blipFill>
                        <a:blip r:embed="rId2"/>
                        <a:stretch>
                          <a:fillRect/>
                        </a:stretch>
                      </pic:blipFill>
                      <pic:spPr bwMode="auto">
                        <a:xfrm>
                          <a:off x="0" y="0"/>
                          <a:ext cx="1065530" cy="1065530"/>
                        </a:xfrm>
                        <a:prstGeom prst="rect">
                          <a:avLst/>
                        </a:prstGeom>
                      </pic:spPr>
                    </pic:pic>
                  </a:graphicData>
                </a:graphic>
              </wp:inline>
            </w:drawing>
          </w:r>
        </w:p>
      </w:tc>
    </w:tr>
    <w:tr w:rsidR="00691ABF">
      <w:tc>
        <w:tcPr>
          <w:tcW w:w="10490" w:type="dxa"/>
          <w:gridSpan w:val="3"/>
          <w:shd w:val="clear" w:color="auto" w:fill="auto"/>
        </w:tcPr>
        <w:p w:rsidR="00691ABF" w:rsidRDefault="00691ABF">
          <w:pPr>
            <w:pStyle w:val="Standard"/>
            <w:widowControl w:val="0"/>
            <w:spacing w:before="120"/>
            <w:ind w:left="-1366" w:right="-1913"/>
            <w:jc w:val="center"/>
          </w:pPr>
        </w:p>
      </w:tc>
    </w:tr>
  </w:tbl>
  <w:p w:rsidR="00691ABF" w:rsidRDefault="00691ABF">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646E84"/>
    <w:multiLevelType w:val="multilevel"/>
    <w:tmpl w:val="F6941C2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22C10383"/>
    <w:multiLevelType w:val="multilevel"/>
    <w:tmpl w:val="B866D7B8"/>
    <w:lvl w:ilvl="0">
      <w:start w:val="4"/>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54A58CF"/>
    <w:multiLevelType w:val="multilevel"/>
    <w:tmpl w:val="6EC295EA"/>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4CBD300E"/>
    <w:multiLevelType w:val="multilevel"/>
    <w:tmpl w:val="A6661050"/>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668C64B6"/>
    <w:multiLevelType w:val="multilevel"/>
    <w:tmpl w:val="D26C3470"/>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67AA2E1F"/>
    <w:multiLevelType w:val="multilevel"/>
    <w:tmpl w:val="39A00A10"/>
    <w:lvl w:ilvl="0">
      <w:start w:val="1"/>
      <w:numFmt w:val="none"/>
      <w:pStyle w:val="Titolo4"/>
      <w:suff w:val="nothing"/>
      <w:lvlText w:val=""/>
      <w:lvlJc w:val="left"/>
      <w:pPr>
        <w:tabs>
          <w:tab w:val="num" w:pos="0"/>
        </w:tabs>
        <w:ind w:left="432" w:hanging="432"/>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5"/>
  </w:num>
  <w:num w:numId="2">
    <w:abstractNumId w:val="2"/>
  </w:num>
  <w:num w:numId="3">
    <w:abstractNumId w:val="4"/>
  </w:num>
  <w:num w:numId="4">
    <w:abstractNumId w:val="0"/>
  </w:num>
  <w:num w:numId="5">
    <w:abstractNumId w:val="1"/>
  </w:num>
  <w:num w:numId="6">
    <w:abstractNumId w:val="3"/>
  </w:num>
  <w:num w:numId="7">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9"/>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ABF"/>
    <w:rsid w:val="00187F15"/>
    <w:rsid w:val="00691ABF"/>
    <w:rsid w:val="009C560A"/>
    <w:rsid w:val="00CD3B41"/>
    <w:rsid w:val="00EE7C0B"/>
    <w:rsid w:val="00EF4076"/>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5FE1F1-ED85-4F09-8D1F-BA4B2C90C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63445"/>
    <w:pPr>
      <w:widowControl w:val="0"/>
    </w:pPr>
  </w:style>
  <w:style w:type="paragraph" w:styleId="Titolo3">
    <w:name w:val="heading 3"/>
    <w:next w:val="Standard"/>
    <w:link w:val="Titolo3Carattere"/>
    <w:qFormat/>
    <w:rsid w:val="00191FC1"/>
    <w:pPr>
      <w:keepNext/>
      <w:tabs>
        <w:tab w:val="left" w:pos="3047"/>
        <w:tab w:val="left" w:pos="9709"/>
      </w:tabs>
      <w:spacing w:before="120"/>
      <w:outlineLvl w:val="2"/>
    </w:pPr>
    <w:rPr>
      <w:rFonts w:eastAsia="Arial"/>
      <w:b/>
      <w:bCs/>
    </w:rPr>
  </w:style>
  <w:style w:type="paragraph" w:styleId="Titolo4">
    <w:name w:val="heading 4"/>
    <w:next w:val="Standard"/>
    <w:link w:val="Titolo4Carattere"/>
    <w:qFormat/>
    <w:rsid w:val="00191FC1"/>
    <w:pPr>
      <w:keepNext/>
      <w:numPr>
        <w:numId w:val="1"/>
      </w:numPr>
      <w:ind w:right="34" w:firstLine="0"/>
      <w:jc w:val="center"/>
      <w:outlineLvl w:val="3"/>
    </w:pPr>
    <w:rPr>
      <w:rFonts w:eastAsia="Arial"/>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qFormat/>
    <w:rsid w:val="00191FC1"/>
    <w:rPr>
      <w:color w:val="000080"/>
      <w:u w:val="single"/>
    </w:rPr>
  </w:style>
  <w:style w:type="character" w:customStyle="1" w:styleId="PidipaginaCarattere">
    <w:name w:val="Piè di pagina Carattere"/>
    <w:basedOn w:val="Carpredefinitoparagrafo"/>
    <w:link w:val="Pidipagina"/>
    <w:qFormat/>
    <w:rsid w:val="001C7B09"/>
    <w:rPr>
      <w:rFonts w:ascii="Arial" w:hAnsi="Arial"/>
      <w:sz w:val="24"/>
      <w:szCs w:val="24"/>
    </w:rPr>
  </w:style>
  <w:style w:type="character" w:customStyle="1" w:styleId="Caratteredinumerazione">
    <w:name w:val="Carattere di numerazione"/>
    <w:qFormat/>
    <w:rsid w:val="00EF252E"/>
    <w:rPr>
      <w:rFonts w:ascii="Arial" w:hAnsi="Arial"/>
      <w:sz w:val="22"/>
      <w:szCs w:val="22"/>
    </w:rPr>
  </w:style>
  <w:style w:type="character" w:customStyle="1" w:styleId="Enfasi">
    <w:name w:val="Enfasi"/>
    <w:uiPriority w:val="20"/>
    <w:qFormat/>
    <w:rsid w:val="00ED081D"/>
    <w:rPr>
      <w:b/>
      <w:bCs/>
      <w:i w:val="0"/>
      <w:iCs w:val="0"/>
    </w:rPr>
  </w:style>
  <w:style w:type="character" w:customStyle="1" w:styleId="st1">
    <w:name w:val="st1"/>
    <w:basedOn w:val="Carpredefinitoparagrafo"/>
    <w:qFormat/>
    <w:rsid w:val="00ED081D"/>
  </w:style>
  <w:style w:type="character" w:customStyle="1" w:styleId="object3">
    <w:name w:val="object3"/>
    <w:basedOn w:val="Carpredefinitoparagrafo"/>
    <w:qFormat/>
    <w:rsid w:val="003243DA"/>
  </w:style>
  <w:style w:type="character" w:customStyle="1" w:styleId="object5">
    <w:name w:val="object5"/>
    <w:basedOn w:val="Carpredefinitoparagrafo"/>
    <w:qFormat/>
    <w:rsid w:val="003243DA"/>
  </w:style>
  <w:style w:type="character" w:customStyle="1" w:styleId="object7">
    <w:name w:val="object7"/>
    <w:basedOn w:val="Carpredefinitoparagrafo"/>
    <w:qFormat/>
    <w:rsid w:val="003243DA"/>
  </w:style>
  <w:style w:type="character" w:customStyle="1" w:styleId="object9">
    <w:name w:val="object9"/>
    <w:basedOn w:val="Carpredefinitoparagrafo"/>
    <w:qFormat/>
    <w:rsid w:val="003243DA"/>
  </w:style>
  <w:style w:type="character" w:customStyle="1" w:styleId="object11">
    <w:name w:val="object11"/>
    <w:basedOn w:val="Carpredefinitoparagrafo"/>
    <w:qFormat/>
    <w:rsid w:val="003243DA"/>
  </w:style>
  <w:style w:type="character" w:customStyle="1" w:styleId="object13">
    <w:name w:val="object13"/>
    <w:basedOn w:val="Carpredefinitoparagrafo"/>
    <w:qFormat/>
    <w:rsid w:val="003243DA"/>
  </w:style>
  <w:style w:type="character" w:customStyle="1" w:styleId="object15">
    <w:name w:val="object15"/>
    <w:basedOn w:val="Carpredefinitoparagrafo"/>
    <w:qFormat/>
    <w:rsid w:val="003243DA"/>
  </w:style>
  <w:style w:type="character" w:customStyle="1" w:styleId="object17">
    <w:name w:val="object17"/>
    <w:basedOn w:val="Carpredefinitoparagrafo"/>
    <w:qFormat/>
    <w:rsid w:val="003243DA"/>
  </w:style>
  <w:style w:type="character" w:customStyle="1" w:styleId="object19">
    <w:name w:val="object19"/>
    <w:basedOn w:val="Carpredefinitoparagrafo"/>
    <w:qFormat/>
    <w:rsid w:val="003243DA"/>
  </w:style>
  <w:style w:type="character" w:customStyle="1" w:styleId="object21">
    <w:name w:val="object21"/>
    <w:basedOn w:val="Carpredefinitoparagrafo"/>
    <w:qFormat/>
    <w:rsid w:val="003243DA"/>
  </w:style>
  <w:style w:type="character" w:customStyle="1" w:styleId="object23">
    <w:name w:val="object23"/>
    <w:basedOn w:val="Carpredefinitoparagrafo"/>
    <w:qFormat/>
    <w:rsid w:val="003243DA"/>
  </w:style>
  <w:style w:type="character" w:customStyle="1" w:styleId="Titolo3Carattere">
    <w:name w:val="Titolo 3 Carattere"/>
    <w:basedOn w:val="Carpredefinitoparagrafo"/>
    <w:link w:val="Titolo3"/>
    <w:qFormat/>
    <w:rsid w:val="00191FC1"/>
    <w:rPr>
      <w:rFonts w:ascii="Arial" w:eastAsia="Arial" w:hAnsi="Arial" w:cs="Arial"/>
      <w:b/>
      <w:bCs/>
      <w:kern w:val="2"/>
      <w:lang w:eastAsia="zh-CN"/>
    </w:rPr>
  </w:style>
  <w:style w:type="character" w:customStyle="1" w:styleId="Titolo4Carattere">
    <w:name w:val="Titolo 4 Carattere"/>
    <w:basedOn w:val="Carpredefinitoparagrafo"/>
    <w:link w:val="Titolo4"/>
    <w:qFormat/>
    <w:rsid w:val="00191FC1"/>
    <w:rPr>
      <w:rFonts w:ascii="Arial" w:eastAsia="Arial" w:hAnsi="Arial" w:cs="Arial"/>
      <w:b/>
      <w:kern w:val="2"/>
      <w:lang w:eastAsia="zh-CN"/>
    </w:rPr>
  </w:style>
  <w:style w:type="paragraph" w:styleId="Titolo">
    <w:name w:val="Title"/>
    <w:basedOn w:val="Normale"/>
    <w:next w:val="Corpotesto"/>
    <w:qFormat/>
    <w:pPr>
      <w:keepNext/>
      <w:spacing w:before="240" w:after="120"/>
    </w:pPr>
    <w:rPr>
      <w:rFonts w:ascii="Liberation Sans" w:eastAsia="Microsoft YaHei" w:hAnsi="Liberation Sans" w:cs="Arial"/>
      <w:sz w:val="28"/>
      <w:szCs w:val="28"/>
    </w:rPr>
  </w:style>
  <w:style w:type="paragraph" w:styleId="Corpotesto">
    <w:name w:val="Body Text"/>
    <w:basedOn w:val="Normale"/>
    <w:pPr>
      <w:spacing w:after="140" w:line="276" w:lineRule="auto"/>
    </w:pPr>
  </w:style>
  <w:style w:type="paragraph" w:styleId="Elenco">
    <w:name w:val="List"/>
    <w:basedOn w:val="Corpotesto1"/>
    <w:rsid w:val="00EF252E"/>
    <w:rPr>
      <w:rFonts w:cs="Mangal"/>
    </w:rPr>
  </w:style>
  <w:style w:type="paragraph" w:styleId="Didascalia">
    <w:name w:val="caption"/>
    <w:basedOn w:val="Normale"/>
    <w:qFormat/>
    <w:rsid w:val="00EF252E"/>
    <w:pPr>
      <w:suppressLineNumbers/>
      <w:spacing w:before="120" w:after="120"/>
    </w:pPr>
    <w:rPr>
      <w:rFonts w:cs="Mangal"/>
      <w:i/>
      <w:iCs/>
      <w:sz w:val="24"/>
      <w:szCs w:val="24"/>
    </w:rPr>
  </w:style>
  <w:style w:type="paragraph" w:customStyle="1" w:styleId="Indice">
    <w:name w:val="Indice"/>
    <w:basedOn w:val="Normale"/>
    <w:qFormat/>
    <w:rsid w:val="00EF252E"/>
    <w:pPr>
      <w:suppressLineNumbers/>
    </w:pPr>
    <w:rPr>
      <w:rFonts w:cs="Mangal"/>
    </w:rPr>
  </w:style>
  <w:style w:type="paragraph" w:customStyle="1" w:styleId="Titolo1">
    <w:name w:val="Titolo1"/>
    <w:basedOn w:val="Standard"/>
    <w:next w:val="Textbody"/>
    <w:qFormat/>
    <w:rsid w:val="00C21623"/>
    <w:pPr>
      <w:keepNext/>
      <w:spacing w:before="240" w:after="120"/>
    </w:pPr>
    <w:rPr>
      <w:rFonts w:ascii="Liberation Sans" w:eastAsia="Microsoft YaHei" w:hAnsi="Liberation Sans" w:cs="Mangal"/>
      <w:sz w:val="28"/>
      <w:szCs w:val="28"/>
    </w:rPr>
  </w:style>
  <w:style w:type="paragraph" w:customStyle="1" w:styleId="Corpotesto1">
    <w:name w:val="Corpo testo1"/>
    <w:basedOn w:val="Normale"/>
    <w:qFormat/>
    <w:rsid w:val="00D50A67"/>
    <w:pPr>
      <w:spacing w:after="120" w:line="288" w:lineRule="auto"/>
    </w:pPr>
    <w:rPr>
      <w:rFonts w:ascii="Roman PS" w:hAnsi="Roman PS"/>
    </w:rPr>
  </w:style>
  <w:style w:type="paragraph" w:customStyle="1" w:styleId="Titolo2">
    <w:name w:val="Titolo2"/>
    <w:basedOn w:val="Normale"/>
    <w:next w:val="Corpotesto1"/>
    <w:qFormat/>
    <w:rsid w:val="00EF252E"/>
    <w:pPr>
      <w:keepNext/>
      <w:spacing w:before="240" w:after="120"/>
    </w:pPr>
    <w:rPr>
      <w:rFonts w:ascii="Liberation Sans" w:eastAsia="Microsoft YaHei" w:hAnsi="Liberation Sans" w:cs="Mangal"/>
      <w:sz w:val="28"/>
      <w:szCs w:val="28"/>
    </w:rPr>
  </w:style>
  <w:style w:type="paragraph" w:customStyle="1" w:styleId="Intestazioneepidipagina">
    <w:name w:val="Intestazione e piè di pagina"/>
    <w:basedOn w:val="Normale"/>
    <w:qFormat/>
  </w:style>
  <w:style w:type="paragraph" w:styleId="Intestazione">
    <w:name w:val="header"/>
    <w:basedOn w:val="Normale"/>
    <w:rsid w:val="00F51D67"/>
    <w:pPr>
      <w:tabs>
        <w:tab w:val="center" w:pos="4819"/>
        <w:tab w:val="right" w:pos="9638"/>
      </w:tabs>
    </w:pPr>
  </w:style>
  <w:style w:type="paragraph" w:styleId="Pidipagina">
    <w:name w:val="footer"/>
    <w:basedOn w:val="Normale"/>
    <w:link w:val="PidipaginaCarattere"/>
    <w:rsid w:val="00F51D67"/>
    <w:pPr>
      <w:tabs>
        <w:tab w:val="center" w:pos="4819"/>
        <w:tab w:val="right" w:pos="9638"/>
      </w:tabs>
    </w:pPr>
  </w:style>
  <w:style w:type="paragraph" w:styleId="Testofumetto">
    <w:name w:val="Balloon Text"/>
    <w:basedOn w:val="Normale"/>
    <w:semiHidden/>
    <w:qFormat/>
    <w:rsid w:val="00F51D67"/>
    <w:rPr>
      <w:rFonts w:ascii="Tahoma" w:hAnsi="Tahoma" w:cs="Tahoma"/>
      <w:sz w:val="16"/>
      <w:szCs w:val="16"/>
    </w:rPr>
  </w:style>
  <w:style w:type="paragraph" w:styleId="Rientrocorpodeltesto">
    <w:name w:val="Body Text Indent"/>
    <w:basedOn w:val="Normale"/>
    <w:rsid w:val="002427F3"/>
    <w:pPr>
      <w:tabs>
        <w:tab w:val="left" w:pos="4678"/>
      </w:tabs>
      <w:spacing w:after="120"/>
      <w:ind w:left="360" w:hanging="360"/>
      <w:jc w:val="both"/>
    </w:pPr>
    <w:rPr>
      <w:sz w:val="22"/>
    </w:rPr>
  </w:style>
  <w:style w:type="paragraph" w:styleId="Testonormale">
    <w:name w:val="Plain Text"/>
    <w:basedOn w:val="Normale"/>
    <w:qFormat/>
    <w:rsid w:val="0008342A"/>
    <w:rPr>
      <w:rFonts w:ascii="Courier New" w:hAnsi="Courier New" w:cs="Courier New"/>
    </w:rPr>
  </w:style>
  <w:style w:type="paragraph" w:styleId="NormaleWeb">
    <w:name w:val="Normal (Web)"/>
    <w:basedOn w:val="Normale"/>
    <w:qFormat/>
    <w:rsid w:val="00D50A67"/>
    <w:pPr>
      <w:spacing w:before="280" w:after="280"/>
    </w:pPr>
  </w:style>
  <w:style w:type="paragraph" w:styleId="Paragrafoelenco">
    <w:name w:val="List Paragraph"/>
    <w:basedOn w:val="Normale"/>
    <w:uiPriority w:val="34"/>
    <w:qFormat/>
    <w:rsid w:val="00967774"/>
    <w:pPr>
      <w:ind w:left="720"/>
      <w:contextualSpacing/>
    </w:pPr>
  </w:style>
  <w:style w:type="paragraph" w:customStyle="1" w:styleId="Standard">
    <w:name w:val="Standard"/>
    <w:qFormat/>
    <w:rsid w:val="007A744D"/>
    <w:pPr>
      <w:textAlignment w:val="baseline"/>
    </w:pPr>
    <w:rPr>
      <w:rFonts w:ascii="Arial" w:hAnsi="Arial" w:cs="Arial"/>
      <w:kern w:val="2"/>
      <w:sz w:val="24"/>
      <w:szCs w:val="24"/>
      <w:lang w:eastAsia="zh-CN"/>
    </w:rPr>
  </w:style>
  <w:style w:type="paragraph" w:customStyle="1" w:styleId="Textbody">
    <w:name w:val="Text body"/>
    <w:basedOn w:val="Standard"/>
    <w:qFormat/>
    <w:rsid w:val="00C21623"/>
    <w:pPr>
      <w:widowControl w:val="0"/>
      <w:spacing w:after="120"/>
    </w:pPr>
    <w:rPr>
      <w:rFonts w:ascii="Roman PS" w:eastAsia="Roman PS" w:hAnsi="Roman PS" w:cs="Roman PS"/>
    </w:rPr>
  </w:style>
  <w:style w:type="paragraph" w:customStyle="1" w:styleId="western">
    <w:name w:val="western"/>
    <w:basedOn w:val="Normale"/>
    <w:qFormat/>
    <w:rsid w:val="00CA33F2"/>
    <w:pPr>
      <w:widowControl/>
      <w:suppressAutoHyphens w:val="0"/>
      <w:spacing w:beforeAutospacing="1"/>
    </w:pPr>
    <w:rPr>
      <w:rFonts w:ascii="Courier (W1)" w:hAnsi="Courier (W1)"/>
      <w:color w:val="000000"/>
      <w:sz w:val="24"/>
      <w:szCs w:val="24"/>
    </w:rPr>
  </w:style>
  <w:style w:type="numbering" w:customStyle="1" w:styleId="WW8Num2">
    <w:name w:val="WW8Num2"/>
    <w:qFormat/>
    <w:rsid w:val="00191FC1"/>
  </w:style>
  <w:style w:type="numbering" w:customStyle="1" w:styleId="WW8Num4">
    <w:name w:val="WW8Num4"/>
    <w:qFormat/>
    <w:rsid w:val="00191FC1"/>
  </w:style>
  <w:style w:type="numbering" w:customStyle="1" w:styleId="WW8Num5">
    <w:name w:val="WW8Num5"/>
    <w:qFormat/>
    <w:rsid w:val="00191FC1"/>
  </w:style>
  <w:style w:type="numbering" w:customStyle="1" w:styleId="WW8Num17">
    <w:name w:val="WW8Num17"/>
    <w:qFormat/>
    <w:rsid w:val="00191FC1"/>
  </w:style>
  <w:style w:type="table" w:styleId="Grigliatabella">
    <w:name w:val="Table Grid"/>
    <w:basedOn w:val="Tabellanormale"/>
    <w:rsid w:val="00191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mailto:comune.mira.ve@pecveneto.it" TargetMode="External"/><Relationship Id="rId1" Type="http://schemas.openxmlformats.org/officeDocument/2006/relationships/hyperlink" Target="mailto:personale@comune.mira.ve.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omune.mira.ve@pecveneto.it" TargetMode="External"/><Relationship Id="rId1" Type="http://schemas.openxmlformats.org/officeDocument/2006/relationships/hyperlink" Target="mailto:personale@comune.mira.v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471</Words>
  <Characters>2688</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Prot</vt:lpstr>
    </vt:vector>
  </TitlesOfParts>
  <Company>Città metropolitana di Venezia</Company>
  <LinksUpToDate>false</LinksUpToDate>
  <CharactersWithSpaces>3153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daniele.campalto</dc:creator>
  <dc:description/>
  <cp:lastModifiedBy>Silvia Pavan</cp:lastModifiedBy>
  <cp:revision>3</cp:revision>
  <cp:lastPrinted>2022-11-18T15:28:00Z</cp:lastPrinted>
  <dcterms:created xsi:type="dcterms:W3CDTF">2023-07-21T08:33:00Z</dcterms:created>
  <dcterms:modified xsi:type="dcterms:W3CDTF">2023-07-21T08:34:00Z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